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 Protection Impact Assessment (DPIA)</w:t>
      </w:r>
    </w:p>
    <w:p>
      <w:r>
        <w:rPr>
          <w:b/>
        </w:rPr>
        <w:t>Product:</w:t>
      </w:r>
      <w:r>
        <w:t xml:space="preserve"> NeuroKids (Linked2Link Ltd)</w:t>
      </w:r>
    </w:p>
    <w:p>
      <w:r>
        <w:rPr>
          <w:b/>
        </w:rPr>
        <w:t>Document version:</w:t>
      </w:r>
      <w:r>
        <w:t xml:space="preserve"> 1.0</w:t>
      </w:r>
    </w:p>
    <w:p>
      <w:r>
        <w:rPr>
          <w:b/>
        </w:rPr>
        <w:t>Date:</w:t>
      </w:r>
      <w:r>
        <w:t xml:space="preserve"> 11 July 2026</w:t>
      </w:r>
    </w:p>
    <w:p>
      <w:r>
        <w:rPr>
          <w:b/>
        </w:rPr>
        <w:t>Status:</w:t>
      </w:r>
      <w:r>
        <w:t xml:space="preserve"> Template for school DPO completion</w:t>
      </w:r>
    </w:p>
    <w:p>
      <w:pPr>
        <w:pStyle w:val="Heading1"/>
      </w:pPr>
      <w:r>
        <w:t>1. Identify the need for a DPIA</w:t>
      </w:r>
    </w:p>
    <w:p>
      <w:r>
        <w:t>NeuroKids is a Special Educational Needs (SEN/SEND) communication, learning,</w:t>
      </w:r>
    </w:p>
    <w:p>
      <w:r>
        <w:t>and behavioural-tracking platform used by neurodivergent children (typically</w:t>
      </w:r>
    </w:p>
    <w:p>
      <w:r>
        <w:t>aged 3–14) under parent or staff supervision. Because it processes:</w:t>
      </w:r>
    </w:p>
    <w:p>
      <w:pPr>
        <w:pStyle w:val="ListBullet"/>
      </w:pPr>
      <w:r>
        <w:t>Children's personal data (name, age, learning progress)</w:t>
      </w:r>
    </w:p>
    <w:p>
      <w:pPr>
        <w:pStyle w:val="ListBullet"/>
      </w:pPr>
      <w:r>
        <w:t>Special-category data (medical/SEN diagnoses, behaviour patterns)</w:t>
      </w:r>
    </w:p>
    <w:p>
      <w:pPr>
        <w:pStyle w:val="ListBullet"/>
      </w:pPr>
      <w:r>
        <w:t>Communication content created by the child (AAC sentences, journal entries)</w:t>
      </w:r>
    </w:p>
    <w:p>
      <w:r>
        <w:t>…it meets the ICO threshold requiring a DPIA under UK GDPR Article 35(3)(b)</w:t>
      </w:r>
    </w:p>
    <w:p>
      <w:r>
        <w:t>("large-scale processing of special-category data") and (c) ("systematic</w:t>
      </w:r>
    </w:p>
    <w:p>
      <w:r>
        <w:t>monitoring").</w:t>
      </w:r>
    </w:p>
    <w:p>
      <w:pPr>
        <w:pStyle w:val="Heading1"/>
      </w:pPr>
      <w:r>
        <w:t>2. Describe the processing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Field</w:t>
            </w:r>
          </w:p>
        </w:tc>
        <w:tc>
          <w:tcPr>
            <w:tcW w:type="dxa" w:w="4320"/>
          </w:tcPr>
          <w:p>
            <w:r>
              <w:rPr>
                <w:b/>
              </w:rPr>
              <w:t>Detail</w:t>
            </w:r>
          </w:p>
        </w:tc>
      </w:tr>
      <w:tr>
        <w:tc>
          <w:tcPr>
            <w:tcW w:type="dxa" w:w="4320"/>
          </w:tcPr>
          <w:p>
            <w:r>
              <w:t>**Nature**</w:t>
            </w:r>
          </w:p>
        </w:tc>
        <w:tc>
          <w:tcPr>
            <w:tcW w:type="dxa" w:w="4320"/>
          </w:tcPr>
          <w:p>
            <w:r>
              <w:t>Cloud SaaS web/PWA. Pupil device → HTTPS → UK/EU API → encrypted MongoDB Atlas.</w:t>
            </w:r>
          </w:p>
        </w:tc>
      </w:tr>
      <w:tr>
        <w:tc>
          <w:tcPr>
            <w:tcW w:type="dxa" w:w="4320"/>
          </w:tcPr>
          <w:p>
            <w:r>
              <w:t>**Scope**</w:t>
            </w:r>
          </w:p>
        </w:tc>
        <w:tc>
          <w:tcPr>
            <w:tcW w:type="dxa" w:w="4320"/>
          </w:tcPr>
          <w:p>
            <w:r>
              <w:t>Pupil profile (first name, age, optional SEN focus), learning logs, AAC sentences, mood check-ins. NO photos, NO location, NO biometric data, NO surnames required.</w:t>
            </w:r>
          </w:p>
        </w:tc>
      </w:tr>
      <w:tr>
        <w:tc>
          <w:tcPr>
            <w:tcW w:type="dxa" w:w="4320"/>
          </w:tcPr>
          <w:p>
            <w:r>
              <w:t>**Context**</w:t>
            </w:r>
          </w:p>
        </w:tc>
        <w:tc>
          <w:tcPr>
            <w:tcW w:type="dxa" w:w="4320"/>
          </w:tcPr>
          <w:p>
            <w:r>
              <w:t>School deploys via MDM to school-owned iPads/Chromebooks. Each pupil logs in via PIN provisioned by the SENCO.</w:t>
            </w:r>
          </w:p>
        </w:tc>
      </w:tr>
      <w:tr>
        <w:tc>
          <w:tcPr>
            <w:tcW w:type="dxa" w:w="4320"/>
          </w:tcPr>
          <w:p>
            <w:r>
              <w:t>**Purpose**</w:t>
            </w:r>
          </w:p>
        </w:tc>
        <w:tc>
          <w:tcPr>
            <w:tcW w:type="dxa" w:w="4320"/>
          </w:tcPr>
          <w:p>
            <w:r>
              <w:t>Augmentative &amp; Alternative Communication (AAC); structured SEN learning; progress reporting to therapists &amp; EHCP reviews.</w:t>
            </w:r>
          </w:p>
        </w:tc>
      </w:tr>
    </w:tbl>
    <w:p>
      <w:pPr>
        <w:pStyle w:val="Heading1"/>
      </w:pPr>
      <w:r>
        <w:t>3. Consultation process</w:t>
      </w:r>
    </w:p>
    <w:p>
      <w:r>
        <w:t>Schools must complete this section. Consult: SENCO, headteacher, DPO,</w:t>
      </w:r>
    </w:p>
    <w:p>
      <w:r>
        <w:t>parents (Article 35(9) — meaningful consultation). Document outcome below.</w:t>
      </w:r>
    </w:p>
    <w:p>
      <w:r>
        <w:rPr>
          <w:i/>
        </w:rPr>
        <w:t>_Consultation evidence:_ ……………………………………………………</w:t>
      </w:r>
    </w:p>
    <w:p>
      <w:pPr>
        <w:pStyle w:val="Heading1"/>
      </w:pPr>
      <w:r>
        <w:t>4. Necessity and proportionality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UK GDPR principle</w:t>
            </w:r>
          </w:p>
        </w:tc>
        <w:tc>
          <w:tcPr>
            <w:tcW w:type="dxa" w:w="4320"/>
          </w:tcPr>
          <w:p>
            <w:r>
              <w:rPr>
                <w:b/>
              </w:rPr>
              <w:t>How NeuroKids meets it</w:t>
            </w:r>
          </w:p>
        </w:tc>
      </w:tr>
      <w:tr>
        <w:tc>
          <w:tcPr>
            <w:tcW w:type="dxa" w:w="4320"/>
          </w:tcPr>
          <w:p>
            <w:r>
              <w:t>**Lawful basis (Art. 6)**</w:t>
            </w:r>
          </w:p>
        </w:tc>
        <w:tc>
          <w:tcPr>
            <w:tcW w:type="dxa" w:w="4320"/>
          </w:tcPr>
          <w:p>
            <w:r>
              <w:t>Public task (Art. 6(1)(e)) for state schools; Legitimate interest (6(1)(f)) for academies; explicit parental consent for special-category data (Art. 9(2)(a)).</w:t>
            </w:r>
          </w:p>
        </w:tc>
      </w:tr>
      <w:tr>
        <w:tc>
          <w:tcPr>
            <w:tcW w:type="dxa" w:w="4320"/>
          </w:tcPr>
          <w:p>
            <w:r>
              <w:t>**Data minimisation**</w:t>
            </w:r>
          </w:p>
        </w:tc>
        <w:tc>
          <w:tcPr>
            <w:tcW w:type="dxa" w:w="4320"/>
          </w:tcPr>
          <w:p>
            <w:r>
              <w:t>First name + age only. No surname, address, photo, or behavioural-video capture required.</w:t>
            </w:r>
          </w:p>
        </w:tc>
      </w:tr>
      <w:tr>
        <w:tc>
          <w:tcPr>
            <w:tcW w:type="dxa" w:w="4320"/>
          </w:tcPr>
          <w:p>
            <w:r>
              <w:t>**Purpose limitation**</w:t>
            </w:r>
          </w:p>
        </w:tc>
        <w:tc>
          <w:tcPr>
            <w:tcW w:type="dxa" w:w="4320"/>
          </w:tcPr>
          <w:p>
            <w:r>
              <w:t>Data used only for SEN communication / learning / reporting. No advertising. No profiling for commercial purposes.</w:t>
            </w:r>
          </w:p>
        </w:tc>
      </w:tr>
      <w:tr>
        <w:tc>
          <w:tcPr>
            <w:tcW w:type="dxa" w:w="4320"/>
          </w:tcPr>
          <w:p>
            <w:r>
              <w:t>**Storage limitation**</w:t>
            </w:r>
          </w:p>
        </w:tc>
        <w:tc>
          <w:tcPr>
            <w:tcW w:type="dxa" w:w="4320"/>
          </w:tcPr>
          <w:p>
            <w:r>
              <w:t>Pupil records auto-deleted 30 days after school removes the pupil; 7 years for anonymised aggregate (DfE statutory retention guidance).</w:t>
            </w:r>
          </w:p>
        </w:tc>
      </w:tr>
      <w:tr>
        <w:tc>
          <w:tcPr>
            <w:tcW w:type="dxa" w:w="4320"/>
          </w:tcPr>
          <w:p>
            <w:r>
              <w:t>**Accuracy**</w:t>
            </w:r>
          </w:p>
        </w:tc>
        <w:tc>
          <w:tcPr>
            <w:tcW w:type="dxa" w:w="4320"/>
          </w:tcPr>
          <w:p>
            <w:r>
              <w:t>Parents/SENCOs can edit pupil data in-app at any time.</w:t>
            </w:r>
          </w:p>
        </w:tc>
      </w:tr>
      <w:tr>
        <w:tc>
          <w:tcPr>
            <w:tcW w:type="dxa" w:w="4320"/>
          </w:tcPr>
          <w:p>
            <w:r>
              <w:t>**International transfers**</w:t>
            </w:r>
          </w:p>
        </w:tc>
        <w:tc>
          <w:tcPr>
            <w:tcW w:type="dxa" w:w="4320"/>
          </w:tcPr>
          <w:p>
            <w:r>
              <w:t>Data stays in EU (Ireland). LLM sub-processors anonymise before send and are DPF-certified.</w:t>
            </w:r>
          </w:p>
        </w:tc>
      </w:tr>
    </w:tbl>
    <w:p>
      <w:pPr>
        <w:pStyle w:val="Heading1"/>
      </w:pPr>
      <w:r>
        <w:t>5. Risk-mitigation matrix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</w:rPr>
              <w:t>#</w:t>
            </w:r>
          </w:p>
        </w:tc>
        <w:tc>
          <w:tcPr>
            <w:tcW w:type="dxa" w:w="1234"/>
          </w:tcPr>
          <w:p>
            <w:r>
              <w:rPr>
                <w:b/>
              </w:rPr>
              <w:t>Risk</w:t>
            </w:r>
          </w:p>
        </w:tc>
        <w:tc>
          <w:tcPr>
            <w:tcW w:type="dxa" w:w="1234"/>
          </w:tcPr>
          <w:p>
            <w:r>
              <w:rPr>
                <w:b/>
              </w:rPr>
              <w:t>Likelihood (1-5)</w:t>
            </w:r>
          </w:p>
        </w:tc>
        <w:tc>
          <w:tcPr>
            <w:tcW w:type="dxa" w:w="1234"/>
          </w:tcPr>
          <w:p>
            <w:r>
              <w:rPr>
                <w:b/>
              </w:rPr>
              <w:t>Severity (1-5)</w:t>
            </w:r>
          </w:p>
        </w:tc>
        <w:tc>
          <w:tcPr>
            <w:tcW w:type="dxa" w:w="1234"/>
          </w:tcPr>
          <w:p>
            <w:r>
              <w:rPr>
                <w:b/>
              </w:rPr>
              <w:t>Overall</w:t>
            </w:r>
          </w:p>
        </w:tc>
        <w:tc>
          <w:tcPr>
            <w:tcW w:type="dxa" w:w="1234"/>
          </w:tcPr>
          <w:p>
            <w:r>
              <w:rPr>
                <w:b/>
              </w:rPr>
              <w:t>Mitigation</w:t>
            </w:r>
          </w:p>
        </w:tc>
        <w:tc>
          <w:tcPr>
            <w:tcW w:type="dxa" w:w="1234"/>
          </w:tcPr>
          <w:p>
            <w:r>
              <w:rPr>
                <w:b/>
              </w:rPr>
              <w:t>Residual</w:t>
            </w:r>
          </w:p>
        </w:tc>
      </w:tr>
      <w:tr>
        <w:tc>
          <w:tcPr>
            <w:tcW w:type="dxa" w:w="1234"/>
          </w:tcPr>
          <w:p>
            <w:r>
              <w:t>R1</w:t>
            </w:r>
          </w:p>
        </w:tc>
        <w:tc>
          <w:tcPr>
            <w:tcW w:type="dxa" w:w="1234"/>
          </w:tcPr>
          <w:p>
            <w:r>
              <w:t>Pupil PIN guessable / shared between pupils</w:t>
            </w:r>
          </w:p>
        </w:tc>
        <w:tc>
          <w:tcPr>
            <w:tcW w:type="dxa" w:w="1234"/>
          </w:tcPr>
          <w:p>
            <w:r>
              <w:t>3</w:t>
            </w:r>
          </w:p>
        </w:tc>
        <w:tc>
          <w:tcPr>
            <w:tcW w:type="dxa" w:w="1234"/>
          </w:tcPr>
          <w:p>
            <w:r>
              <w:t>3</w:t>
            </w:r>
          </w:p>
        </w:tc>
        <w:tc>
          <w:tcPr>
            <w:tcW w:type="dxa" w:w="1234"/>
          </w:tcPr>
          <w:p>
            <w:r>
              <w:t>9</w:t>
            </w:r>
          </w:p>
        </w:tc>
        <w:tc>
          <w:tcPr>
            <w:tcW w:type="dxa" w:w="1234"/>
          </w:tcPr>
          <w:p>
            <w:r>
              <w:t>4-digit PIN with rate-limit (5 attempts then lock); SENCO can rotate; staff training in onboarding pack.</w:t>
            </w:r>
          </w:p>
        </w:tc>
        <w:tc>
          <w:tcPr>
            <w:tcW w:type="dxa" w:w="1234"/>
          </w:tcPr>
          <w:p>
            <w:r>
              <w:t>3</w:t>
            </w:r>
          </w:p>
        </w:tc>
      </w:tr>
      <w:tr>
        <w:tc>
          <w:tcPr>
            <w:tcW w:type="dxa" w:w="1234"/>
          </w:tcPr>
          <w:p>
            <w:r>
              <w:t>R2</w:t>
            </w:r>
          </w:p>
        </w:tc>
        <w:tc>
          <w:tcPr>
            <w:tcW w:type="dxa" w:w="1234"/>
          </w:tcPr>
          <w:p>
            <w:r>
              <w:t>AAC content reveals safeguarding concern (e.g. "dad hurt me")</w:t>
            </w:r>
          </w:p>
        </w:tc>
        <w:tc>
          <w:tcPr>
            <w:tcW w:type="dxa" w:w="1234"/>
          </w:tcPr>
          <w:p>
            <w:r>
              <w:t>2</w:t>
            </w:r>
          </w:p>
        </w:tc>
        <w:tc>
          <w:tcPr>
            <w:tcW w:type="dxa" w:w="1234"/>
          </w:tcPr>
          <w:p>
            <w:r>
              <w:t>5</w:t>
            </w:r>
          </w:p>
        </w:tc>
        <w:tc>
          <w:tcPr>
            <w:tcW w:type="dxa" w:w="1234"/>
          </w:tcPr>
          <w:p>
            <w:r>
              <w:t>10</w:t>
            </w:r>
          </w:p>
        </w:tc>
        <w:tc>
          <w:tcPr>
            <w:tcW w:type="dxa" w:w="1234"/>
          </w:tcPr>
          <w:p>
            <w:r>
              <w:t>Optional staff alert on flagged-keyword detection; AAC content visible to SENCO; ProTeach safeguarding signposting in-app.</w:t>
            </w:r>
          </w:p>
        </w:tc>
        <w:tc>
          <w:tcPr>
            <w:tcW w:type="dxa" w:w="1234"/>
          </w:tcPr>
          <w:p>
            <w:r>
              <w:t>4</w:t>
            </w:r>
          </w:p>
        </w:tc>
      </w:tr>
      <w:tr>
        <w:tc>
          <w:tcPr>
            <w:tcW w:type="dxa" w:w="1234"/>
          </w:tcPr>
          <w:p>
            <w:r>
              <w:t>R3</w:t>
            </w:r>
          </w:p>
        </w:tc>
        <w:tc>
          <w:tcPr>
            <w:tcW w:type="dxa" w:w="1234"/>
          </w:tcPr>
          <w:p>
            <w:r>
              <w:t>Data breach in transit / at rest</w:t>
            </w:r>
          </w:p>
        </w:tc>
        <w:tc>
          <w:tcPr>
            <w:tcW w:type="dxa" w:w="1234"/>
          </w:tcPr>
          <w:p>
            <w:r>
              <w:t>2</w:t>
            </w:r>
          </w:p>
        </w:tc>
        <w:tc>
          <w:tcPr>
            <w:tcW w:type="dxa" w:w="1234"/>
          </w:tcPr>
          <w:p>
            <w:r>
              <w:t>5</w:t>
            </w:r>
          </w:p>
        </w:tc>
        <w:tc>
          <w:tcPr>
            <w:tcW w:type="dxa" w:w="1234"/>
          </w:tcPr>
          <w:p>
            <w:r>
              <w:t>10</w:t>
            </w:r>
          </w:p>
        </w:tc>
        <w:tc>
          <w:tcPr>
            <w:tcW w:type="dxa" w:w="1234"/>
          </w:tcPr>
          <w:p>
            <w:r>
              <w:t>TLS 1.3, bcrypt passwords, MongoDB Atlas encryption-at-rest, audit log retained 12 months.</w:t>
            </w:r>
          </w:p>
        </w:tc>
        <w:tc>
          <w:tcPr>
            <w:tcW w:type="dxa" w:w="1234"/>
          </w:tcPr>
          <w:p>
            <w:r>
              <w:t>2</w:t>
            </w:r>
          </w:p>
        </w:tc>
      </w:tr>
      <w:tr>
        <w:tc>
          <w:tcPr>
            <w:tcW w:type="dxa" w:w="1234"/>
          </w:tcPr>
          <w:p>
            <w:r>
              <w:t>R4</w:t>
            </w:r>
          </w:p>
        </w:tc>
        <w:tc>
          <w:tcPr>
            <w:tcW w:type="dxa" w:w="1234"/>
          </w:tcPr>
          <w:p>
            <w:r>
              <w:t>Third-party sub-processor failure</w:t>
            </w:r>
          </w:p>
        </w:tc>
        <w:tc>
          <w:tcPr>
            <w:tcW w:type="dxa" w:w="1234"/>
          </w:tcPr>
          <w:p>
            <w:r>
              <w:t>2</w:t>
            </w:r>
          </w:p>
        </w:tc>
        <w:tc>
          <w:tcPr>
            <w:tcW w:type="dxa" w:w="1234"/>
          </w:tcPr>
          <w:p>
            <w:r>
              <w:t>4</w:t>
            </w:r>
          </w:p>
        </w:tc>
        <w:tc>
          <w:tcPr>
            <w:tcW w:type="dxa" w:w="1234"/>
          </w:tcPr>
          <w:p>
            <w:r>
              <w:t>8</w:t>
            </w:r>
          </w:p>
        </w:tc>
        <w:tc>
          <w:tcPr>
            <w:tcW w:type="dxa" w:w="1234"/>
          </w:tcPr>
          <w:p>
            <w:r>
              <w:t>DPA in place with every processor; transfers limited to UK/EU and DPF-certified processors. Quarterly review.</w:t>
            </w:r>
          </w:p>
        </w:tc>
        <w:tc>
          <w:tcPr>
            <w:tcW w:type="dxa" w:w="1234"/>
          </w:tcPr>
          <w:p>
            <w:r>
              <w:t>3</w:t>
            </w:r>
          </w:p>
        </w:tc>
      </w:tr>
      <w:tr>
        <w:tc>
          <w:tcPr>
            <w:tcW w:type="dxa" w:w="1234"/>
          </w:tcPr>
          <w:p>
            <w:r>
              <w:t>R5</w:t>
            </w:r>
          </w:p>
        </w:tc>
        <w:tc>
          <w:tcPr>
            <w:tcW w:type="dxa" w:w="1234"/>
          </w:tcPr>
          <w:p>
            <w:r>
              <w:t>Parent withdraws consent mid-term</w:t>
            </w:r>
          </w:p>
        </w:tc>
        <w:tc>
          <w:tcPr>
            <w:tcW w:type="dxa" w:w="1234"/>
          </w:tcPr>
          <w:p>
            <w:r>
              <w:t>4</w:t>
            </w:r>
          </w:p>
        </w:tc>
        <w:tc>
          <w:tcPr>
            <w:tcW w:type="dxa" w:w="1234"/>
          </w:tcPr>
          <w:p>
            <w:r>
              <w:t>2</w:t>
            </w:r>
          </w:p>
        </w:tc>
        <w:tc>
          <w:tcPr>
            <w:tcW w:type="dxa" w:w="1234"/>
          </w:tcPr>
          <w:p>
            <w:r>
              <w:t>8</w:t>
            </w:r>
          </w:p>
        </w:tc>
        <w:tc>
          <w:tcPr>
            <w:tcW w:type="dxa" w:w="1234"/>
          </w:tcPr>
          <w:p>
            <w:r>
              <w:t>One-click "delete child profile" in app and via DPO@neuro-kids-space.co.uk; auto-purge in 30d.</w:t>
            </w:r>
          </w:p>
        </w:tc>
        <w:tc>
          <w:tcPr>
            <w:tcW w:type="dxa" w:w="1234"/>
          </w:tcPr>
          <w:p>
            <w:r>
              <w:t>2</w:t>
            </w:r>
          </w:p>
        </w:tc>
      </w:tr>
      <w:tr>
        <w:tc>
          <w:tcPr>
            <w:tcW w:type="dxa" w:w="1234"/>
          </w:tcPr>
          <w:p>
            <w:r>
              <w:t>R6</w:t>
            </w:r>
          </w:p>
        </w:tc>
        <w:tc>
          <w:tcPr>
            <w:tcW w:type="dxa" w:w="1234"/>
          </w:tcPr>
          <w:p>
            <w:r>
              <w:t>Pupil over 13 self-registers without parental control</w:t>
            </w:r>
          </w:p>
        </w:tc>
        <w:tc>
          <w:tcPr>
            <w:tcW w:type="dxa" w:w="1234"/>
          </w:tcPr>
          <w:p>
            <w:r>
              <w:t>2</w:t>
            </w:r>
          </w:p>
        </w:tc>
        <w:tc>
          <w:tcPr>
            <w:tcW w:type="dxa" w:w="1234"/>
          </w:tcPr>
          <w:p>
            <w:r>
              <w:t>3</w:t>
            </w:r>
          </w:p>
        </w:tc>
        <w:tc>
          <w:tcPr>
            <w:tcW w:type="dxa" w:w="1234"/>
          </w:tcPr>
          <w:p>
            <w:r>
              <w:t>6</w:t>
            </w:r>
          </w:p>
        </w:tc>
        <w:tc>
          <w:tcPr>
            <w:tcW w:type="dxa" w:w="1234"/>
          </w:tcPr>
          <w:p>
            <w:r>
              <w:t>School deployment requires SENCO-issued PINs; self-signup disabled in MDM-managed install.</w:t>
            </w:r>
          </w:p>
        </w:tc>
        <w:tc>
          <w:tcPr>
            <w:tcW w:type="dxa" w:w="1234"/>
          </w:tcPr>
          <w:p>
            <w:r>
              <w:t>2</w:t>
            </w:r>
          </w:p>
        </w:tc>
      </w:tr>
      <w:tr>
        <w:tc>
          <w:tcPr>
            <w:tcW w:type="dxa" w:w="1234"/>
          </w:tcPr>
          <w:p>
            <w:r>
              <w:t>R7</w:t>
            </w:r>
          </w:p>
        </w:tc>
        <w:tc>
          <w:tcPr>
            <w:tcW w:type="dxa" w:w="1234"/>
          </w:tcPr>
          <w:p>
            <w:r>
              <w:t>AI feature leaks identifying pupil data to LLM</w:t>
            </w:r>
          </w:p>
        </w:tc>
        <w:tc>
          <w:tcPr>
            <w:tcW w:type="dxa" w:w="1234"/>
          </w:tcPr>
          <w:p>
            <w:r>
              <w:t>3</w:t>
            </w:r>
          </w:p>
        </w:tc>
        <w:tc>
          <w:tcPr>
            <w:tcW w:type="dxa" w:w="1234"/>
          </w:tcPr>
          <w:p>
            <w:r>
              <w:t>4</w:t>
            </w:r>
          </w:p>
        </w:tc>
        <w:tc>
          <w:tcPr>
            <w:tcW w:type="dxa" w:w="1234"/>
          </w:tcPr>
          <w:p>
            <w:r>
              <w:t>12</w:t>
            </w:r>
          </w:p>
        </w:tc>
        <w:tc>
          <w:tcPr>
            <w:tcW w:type="dxa" w:w="1234"/>
          </w:tcPr>
          <w:p>
            <w:r>
              <w:t>Anonymisation layer strips names/IDs before send; LLM providers contractually bound (DPA), no training on pupil data.</w:t>
            </w:r>
          </w:p>
        </w:tc>
        <w:tc>
          <w:tcPr>
            <w:tcW w:type="dxa" w:w="1234"/>
          </w:tcPr>
          <w:p>
            <w:r>
              <w:t>3</w:t>
            </w:r>
          </w:p>
        </w:tc>
      </w:tr>
      <w:tr>
        <w:tc>
          <w:tcPr>
            <w:tcW w:type="dxa" w:w="1234"/>
          </w:tcPr>
          <w:p>
            <w:r>
              <w:t>R8</w:t>
            </w:r>
          </w:p>
        </w:tc>
        <w:tc>
          <w:tcPr>
            <w:tcW w:type="dxa" w:w="1234"/>
          </w:tcPr>
          <w:p>
            <w:r>
              <w:t>Subject Access Request not fulfilled in 30 days</w:t>
            </w:r>
          </w:p>
        </w:tc>
        <w:tc>
          <w:tcPr>
            <w:tcW w:type="dxa" w:w="1234"/>
          </w:tcPr>
          <w:p>
            <w:r>
              <w:t>2</w:t>
            </w:r>
          </w:p>
        </w:tc>
        <w:tc>
          <w:tcPr>
            <w:tcW w:type="dxa" w:w="1234"/>
          </w:tcPr>
          <w:p>
            <w:r>
              <w:t>3</w:t>
            </w:r>
          </w:p>
        </w:tc>
        <w:tc>
          <w:tcPr>
            <w:tcW w:type="dxa" w:w="1234"/>
          </w:tcPr>
          <w:p>
            <w:r>
              <w:t>6</w:t>
            </w:r>
          </w:p>
        </w:tc>
        <w:tc>
          <w:tcPr>
            <w:tcW w:type="dxa" w:w="1234"/>
          </w:tcPr>
          <w:p>
            <w:r>
              <w:t>DPO inbox monitored daily; data-export feature in-app for parents (immediate); audit log of every SAR.</w:t>
            </w:r>
          </w:p>
        </w:tc>
        <w:tc>
          <w:tcPr>
            <w:tcW w:type="dxa" w:w="1234"/>
          </w:tcPr>
          <w:p>
            <w:r>
              <w:t>2</w:t>
            </w:r>
          </w:p>
        </w:tc>
      </w:tr>
      <w:tr>
        <w:tc>
          <w:tcPr>
            <w:tcW w:type="dxa" w:w="1234"/>
          </w:tcPr>
          <w:p>
            <w:r>
              <w:t>R9</w:t>
            </w:r>
          </w:p>
        </w:tc>
        <w:tc>
          <w:tcPr>
            <w:tcW w:type="dxa" w:w="1234"/>
          </w:tcPr>
          <w:p>
            <w:r>
              <w:t>Loss of device with cached session</w:t>
            </w:r>
          </w:p>
        </w:tc>
        <w:tc>
          <w:tcPr>
            <w:tcW w:type="dxa" w:w="1234"/>
          </w:tcPr>
          <w:p>
            <w:r>
              <w:t>3</w:t>
            </w:r>
          </w:p>
        </w:tc>
        <w:tc>
          <w:tcPr>
            <w:tcW w:type="dxa" w:w="1234"/>
          </w:tcPr>
          <w:p>
            <w:r>
              <w:t>3</w:t>
            </w:r>
          </w:p>
        </w:tc>
        <w:tc>
          <w:tcPr>
            <w:tcW w:type="dxa" w:w="1234"/>
          </w:tcPr>
          <w:p>
            <w:r>
              <w:t>9</w:t>
            </w:r>
          </w:p>
        </w:tc>
        <w:tc>
          <w:tcPr>
            <w:tcW w:type="dxa" w:w="1234"/>
          </w:tcPr>
          <w:p>
            <w:r>
              <w:t>Sessions expire after 14 days idle; MDM remote-wipe supported; no biometric/photo cache on device.</w:t>
            </w:r>
          </w:p>
        </w:tc>
        <w:tc>
          <w:tcPr>
            <w:tcW w:type="dxa" w:w="1234"/>
          </w:tcPr>
          <w:p>
            <w:r>
              <w:t>3</w:t>
            </w:r>
          </w:p>
        </w:tc>
      </w:tr>
      <w:tr>
        <w:tc>
          <w:tcPr>
            <w:tcW w:type="dxa" w:w="1234"/>
          </w:tcPr>
          <w:p>
            <w:r>
              <w:t>R10</w:t>
            </w:r>
          </w:p>
        </w:tc>
        <w:tc>
          <w:tcPr>
            <w:tcW w:type="dxa" w:w="1234"/>
          </w:tcPr>
          <w:p>
            <w:r>
              <w:t>Records retained beyond statutory period</w:t>
            </w:r>
          </w:p>
        </w:tc>
        <w:tc>
          <w:tcPr>
            <w:tcW w:type="dxa" w:w="1234"/>
          </w:tcPr>
          <w:p>
            <w:r>
              <w:t>2</w:t>
            </w:r>
          </w:p>
        </w:tc>
        <w:tc>
          <w:tcPr>
            <w:tcW w:type="dxa" w:w="1234"/>
          </w:tcPr>
          <w:p>
            <w:r>
              <w:t>3</w:t>
            </w:r>
          </w:p>
        </w:tc>
        <w:tc>
          <w:tcPr>
            <w:tcW w:type="dxa" w:w="1234"/>
          </w:tcPr>
          <w:p>
            <w:r>
              <w:t>6</w:t>
            </w:r>
          </w:p>
        </w:tc>
        <w:tc>
          <w:tcPr>
            <w:tcW w:type="dxa" w:w="1234"/>
          </w:tcPr>
          <w:p>
            <w:r>
              <w:t>Automated retention job purges per policy; SENCO can trigger immediate erase.</w:t>
            </w:r>
          </w:p>
        </w:tc>
        <w:tc>
          <w:tcPr>
            <w:tcW w:type="dxa" w:w="1234"/>
          </w:tcPr>
          <w:p>
            <w:r>
              <w:t>2</w:t>
            </w:r>
          </w:p>
        </w:tc>
      </w:tr>
    </w:tbl>
    <w:p>
      <w:r>
        <w:t>(Likelihood × Severity ≥ 10 = High; ≥ 16 = Critical. No critical residual risks identified.)</w:t>
      </w:r>
    </w:p>
    <w:p>
      <w:pPr>
        <w:pStyle w:val="Heading1"/>
      </w:pPr>
      <w:r>
        <w:t>6. Sign-off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Role</w:t>
            </w:r>
          </w:p>
        </w:tc>
        <w:tc>
          <w:tcPr>
            <w:tcW w:type="dxa" w:w="2160"/>
          </w:tcPr>
          <w:p>
            <w:r>
              <w:rPr>
                <w:b/>
              </w:rPr>
              <w:t>Name</w:t>
            </w:r>
          </w:p>
        </w:tc>
        <w:tc>
          <w:tcPr>
            <w:tcW w:type="dxa" w:w="2160"/>
          </w:tcPr>
          <w:p>
            <w:r>
              <w:rPr>
                <w:b/>
              </w:rPr>
              <w:t>Date</w:t>
            </w:r>
          </w:p>
        </w:tc>
        <w:tc>
          <w:tcPr>
            <w:tcW w:type="dxa" w:w="2160"/>
          </w:tcPr>
          <w:p>
            <w:r>
              <w:rPr>
                <w:b/>
              </w:rPr>
              <w:t>Signature</w:t>
            </w:r>
          </w:p>
        </w:tc>
      </w:tr>
      <w:tr>
        <w:tc>
          <w:tcPr>
            <w:tcW w:type="dxa" w:w="2160"/>
          </w:tcPr>
          <w:p>
            <w:r>
              <w:t>School DPO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Headteacher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SENCO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Linked2Link DPO</w:t>
            </w:r>
          </w:p>
        </w:tc>
        <w:tc>
          <w:tcPr>
            <w:tcW w:type="dxa" w:w="2160"/>
          </w:tcPr>
          <w:p>
            <w:r>
              <w:t>_Pending appointment — placeholder_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>
      <w:pPr>
        <w:pStyle w:val="Heading1"/>
      </w:pPr>
      <w:r>
        <w:t>7. Review</w:t>
      </w:r>
    </w:p>
    <w:p>
      <w:r>
        <w:t>This DPIA is reviewed annually, and immediately following any material</w:t>
      </w:r>
    </w:p>
    <w:p>
      <w:r>
        <w:t>change to the processing (e.g. new sub-processor, new data category, new</w:t>
      </w:r>
    </w:p>
    <w:p>
      <w:r>
        <w:t>AI feature).</w:t>
      </w:r>
    </w:p>
    <w:p>
      <w:r>
        <w:rPr>
          <w:b/>
        </w:rPr>
        <w:t>Next review due:</w:t>
      </w:r>
      <w:r>
        <w:t xml:space="preserve"> 11 July 2027</w:t>
      </w:r>
    </w:p>
    <w:p>
      <w:r>
        <w:t>*This template is provided by Linked2Link Ltd as part of the NeuroKids</w:t>
      </w:r>
    </w:p>
    <w:p>
      <w:r>
        <w:t>school-deployment pack. It is based on the UK ICO's official sample DPIA</w:t>
      </w:r>
    </w:p>
    <w:p>
      <w:r>
        <w:t>(ico.org.uk/media/for-organisations/documents/2553993/dpia-template.docx)</w:t>
      </w:r>
    </w:p>
    <w:p>
      <w:r>
        <w:t>and adapted for SEN/SEND classroom deployment.*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